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0BB6" w:rsidRPr="004D4DC5" w:rsidRDefault="003A0BB6" w:rsidP="003A0BB6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3A0BB6" w:rsidRPr="004D4DC5" w:rsidRDefault="003A0BB6" w:rsidP="003A0BB6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3A0BB6" w:rsidRPr="004D4DC5" w:rsidRDefault="003A0BB6" w:rsidP="003A0BB6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3A0BB6" w:rsidRPr="004D4DC5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3A0BB6" w:rsidRPr="004D4DC5" w:rsidRDefault="003A0BB6" w:rsidP="00656B58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5C100B" w:rsidRDefault="003A0BB6" w:rsidP="00656B58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Zasady projektowania uniwersalnego w bhp</w:t>
            </w:r>
          </w:p>
        </w:tc>
      </w:tr>
      <w:tr w:rsidR="003A0BB6" w:rsidRPr="00027570" w:rsidTr="00656B58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BHP/O/I/</w:t>
            </w:r>
            <w:r>
              <w:rPr>
                <w:rFonts w:eastAsia="Calibri"/>
                <w:sz w:val="20"/>
                <w:szCs w:val="20"/>
                <w:lang w:eastAsia="en-US"/>
              </w:rPr>
              <w:t>N</w:t>
            </w:r>
            <w:r w:rsidRPr="00EB6D0C">
              <w:rPr>
                <w:rFonts w:eastAsia="Calibri"/>
                <w:sz w:val="20"/>
                <w:szCs w:val="20"/>
                <w:lang w:eastAsia="en-US"/>
              </w:rPr>
              <w:t>ST/10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7F08EF">
              <w:rPr>
                <w:rFonts w:ascii="inherit" w:hAnsi="inherit" w:cs="Courier New"/>
                <w:sz w:val="20"/>
                <w:szCs w:val="20"/>
                <w:lang w:val="en-GB"/>
              </w:rPr>
              <w:t>Principles of universal design in OSH</w:t>
            </w:r>
            <w:r w:rsidRPr="007F08EF">
              <w:rPr>
                <w:rFonts w:ascii="inherit" w:eastAsia="Calibri" w:hAnsi="inherit" w:cs="Courier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3A0BB6" w:rsidRPr="00EB6D0C" w:rsidTr="00656B58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Pr="00EB6D0C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sz w:val="20"/>
                <w:szCs w:val="20"/>
              </w:rPr>
            </w:pPr>
            <w:r w:rsidRPr="00EB6D0C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EB6D0C">
              <w:rPr>
                <w:sz w:val="20"/>
                <w:szCs w:val="20"/>
              </w:rPr>
              <w:t>stacjonarne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sz w:val="20"/>
                <w:szCs w:val="20"/>
                <w:lang w:eastAsia="en-US"/>
              </w:rPr>
              <w:t>/Z</w:t>
            </w:r>
          </w:p>
        </w:tc>
      </w:tr>
      <w:tr w:rsidR="003A0BB6" w:rsidRPr="00EB6D0C" w:rsidTr="00656B58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pStyle w:val="Akapitzlist"/>
              <w:jc w:val="center"/>
              <w:rPr>
                <w:sz w:val="20"/>
                <w:szCs w:val="20"/>
              </w:rPr>
            </w:pPr>
            <w:r w:rsidRPr="00EB6D0C">
              <w:rPr>
                <w:sz w:val="20"/>
                <w:szCs w:val="20"/>
              </w:rPr>
              <w:t>B1 - grupa zajęć kierunkowych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  <w:r w:rsidRPr="00EB6D0C">
              <w:rPr>
                <w:rFonts w:eastAsia="Calibri"/>
                <w:sz w:val="20"/>
                <w:szCs w:val="20"/>
              </w:rPr>
              <w:t xml:space="preserve"> 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EB6D0C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Pr="00EB6D0C">
              <w:rPr>
                <w:rFonts w:eastAsia="Calibri"/>
                <w:sz w:val="20"/>
                <w:szCs w:val="20"/>
              </w:rPr>
              <w:t>5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EB6D0C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</w:rPr>
            </w:pPr>
            <w:r w:rsidRPr="00EB6D0C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i/>
                <w:sz w:val="20"/>
                <w:szCs w:val="20"/>
              </w:rPr>
            </w:pPr>
            <w:r w:rsidRPr="00EB6D0C">
              <w:rPr>
                <w:i/>
                <w:sz w:val="20"/>
                <w:szCs w:val="20"/>
              </w:rPr>
              <w:t>Nauki o zarządzaniu i jakości</w:t>
            </w:r>
          </w:p>
          <w:p w:rsidR="003A0BB6" w:rsidRPr="00EB6D0C" w:rsidRDefault="003A0BB6" w:rsidP="00656B58">
            <w:pPr>
              <w:rPr>
                <w:i/>
                <w:sz w:val="20"/>
                <w:szCs w:val="20"/>
              </w:rPr>
            </w:pPr>
            <w:r w:rsidRPr="00EB6D0C">
              <w:rPr>
                <w:i/>
                <w:sz w:val="20"/>
                <w:szCs w:val="20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Pr="00EB6D0C">
              <w:rPr>
                <w:rFonts w:eastAsia="Calibri"/>
                <w:sz w:val="20"/>
                <w:szCs w:val="20"/>
              </w:rPr>
              <w:t xml:space="preserve"> ECTS</w:t>
            </w:r>
          </w:p>
          <w:p w:rsidR="003A0BB6" w:rsidRPr="00EB6D0C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Pr="00EB6D0C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0B79C8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A0BB6" w:rsidRPr="00EB6D0C" w:rsidTr="00656B58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EB6D0C">
              <w:rPr>
                <w:sz w:val="20"/>
                <w:szCs w:val="18"/>
              </w:rPr>
              <w:t>Wydział Mechaniczny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7F08EF" w:rsidRDefault="003A0BB6" w:rsidP="00656B58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7F08EF">
              <w:rPr>
                <w:sz w:val="20"/>
                <w:szCs w:val="18"/>
              </w:rPr>
              <w:t>dr hab. inż. Paweł Religa prof. URad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EB6D0C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EB6D0C">
              <w:rPr>
                <w:sz w:val="20"/>
                <w:szCs w:val="18"/>
              </w:rPr>
              <w:t xml:space="preserve">www.wm.uniwersytetradom.pl </w:t>
            </w:r>
          </w:p>
        </w:tc>
      </w:tr>
      <w:tr w:rsidR="003A0BB6" w:rsidRPr="00EB6D0C" w:rsidTr="00656B58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EB6D0C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EB6D0C" w:rsidRDefault="003A0BB6" w:rsidP="00656B58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  <w:lang w:val="en-GB"/>
              </w:rPr>
            </w:pPr>
            <w:r w:rsidRPr="00EB6D0C">
              <w:rPr>
                <w:sz w:val="20"/>
                <w:szCs w:val="20"/>
                <w:lang w:val="en-GB"/>
              </w:rPr>
              <w:t>p.religa@uthrad.pl; +48 361 7583</w:t>
            </w:r>
          </w:p>
        </w:tc>
      </w:tr>
    </w:tbl>
    <w:p w:rsidR="003A0BB6" w:rsidRPr="00EB6D0C" w:rsidRDefault="003A0BB6" w:rsidP="003A0BB6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3A0BB6" w:rsidRDefault="003A0BB6" w:rsidP="003A0BB6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3A0BB6" w:rsidRPr="004D4DC5" w:rsidRDefault="003A0BB6" w:rsidP="003A0BB6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5"/>
        <w:gridCol w:w="6351"/>
      </w:tblGrid>
      <w:tr w:rsidR="003A0BB6" w:rsidRPr="004D4DC5" w:rsidTr="00656B58">
        <w:trPr>
          <w:trHeight w:val="589"/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4D4DC5" w:rsidRDefault="003A0BB6" w:rsidP="00656B58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7B2E17" w:rsidRDefault="003A0BB6" w:rsidP="00656B58">
            <w:pPr>
              <w:pStyle w:val="Akapitzlist"/>
              <w:spacing w:after="200"/>
              <w:ind w:left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B2E17">
              <w:rPr>
                <w:sz w:val="20"/>
                <w:szCs w:val="20"/>
              </w:rPr>
              <w:t xml:space="preserve">Uświadomienie studentom różnorodności grup/osób czynnych zawodowo. Poznanie przez studentów zasad uniwersalnego projektowania i diagnozowania </w:t>
            </w:r>
            <w:proofErr w:type="spellStart"/>
            <w:r w:rsidRPr="007B2E17">
              <w:rPr>
                <w:sz w:val="20"/>
                <w:szCs w:val="20"/>
              </w:rPr>
              <w:t>dostępności</w:t>
            </w:r>
            <w:proofErr w:type="spellEnd"/>
            <w:r w:rsidRPr="007B2E17">
              <w:rPr>
                <w:sz w:val="20"/>
                <w:szCs w:val="20"/>
              </w:rPr>
              <w:t xml:space="preserve"> przestrzeni i stanowisk pracy dla wszystkich grup pracowników (z uwzględnieniem ich psychofizjologicznych </w:t>
            </w:r>
            <w:proofErr w:type="spellStart"/>
            <w:r w:rsidRPr="007B2E17">
              <w:rPr>
                <w:sz w:val="20"/>
                <w:szCs w:val="20"/>
              </w:rPr>
              <w:t>możliwości</w:t>
            </w:r>
            <w:proofErr w:type="spellEnd"/>
            <w:r w:rsidRPr="007B2E17">
              <w:rPr>
                <w:sz w:val="20"/>
                <w:szCs w:val="20"/>
              </w:rPr>
              <w:t xml:space="preserve"> i </w:t>
            </w:r>
            <w:proofErr w:type="spellStart"/>
            <w:r w:rsidRPr="007B2E17">
              <w:rPr>
                <w:sz w:val="20"/>
                <w:szCs w:val="20"/>
              </w:rPr>
              <w:t>ograniczen</w:t>
            </w:r>
            <w:proofErr w:type="spellEnd"/>
            <w:r w:rsidRPr="007B2E17">
              <w:rPr>
                <w:sz w:val="20"/>
                <w:szCs w:val="20"/>
              </w:rPr>
              <w:t xml:space="preserve">́). </w:t>
            </w:r>
          </w:p>
        </w:tc>
      </w:tr>
      <w:tr w:rsidR="003A0BB6" w:rsidRPr="004D4DC5" w:rsidTr="00656B58">
        <w:trPr>
          <w:trHeight w:val="456"/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4D4DC5" w:rsidRDefault="003A0BB6" w:rsidP="00656B58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7B2E17" w:rsidRDefault="003A0BB6" w:rsidP="00656B58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B2E17">
              <w:rPr>
                <w:rFonts w:eastAsia="Calibri"/>
                <w:sz w:val="20"/>
                <w:szCs w:val="20"/>
                <w:lang w:eastAsia="en-US"/>
              </w:rPr>
              <w:t>Wykład (</w:t>
            </w: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Pr="007B2E17">
              <w:rPr>
                <w:rFonts w:eastAsia="Calibri"/>
                <w:sz w:val="20"/>
                <w:szCs w:val="20"/>
                <w:lang w:eastAsia="en-US"/>
              </w:rPr>
              <w:t>h)</w:t>
            </w:r>
          </w:p>
          <w:p w:rsidR="003A0BB6" w:rsidRPr="007B2E17" w:rsidRDefault="003A0BB6" w:rsidP="00656B58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Podstawowe definicje –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niepełnosprawnośc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́, osoba ze szczególnymi potrzebami,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dostępnośc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́, dyskryminacja, projektowanie uniwersalne. Zasady projektowania uniwersalnego. Uwarunkowania prawne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odnośnie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dostępności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przestrzeni obiektów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użyteczności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publicznej. Nowe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rozwiązania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technologiczne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wspomagające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orientację i poruszanie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sie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̨ w przestrzeni. Studia przypadków i dobre praktyki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zastosowan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́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rozwiązan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>́ opartych na zasadach projektowania uniwersalnego.</w:t>
            </w:r>
          </w:p>
          <w:p w:rsidR="003A0BB6" w:rsidRPr="007B2E17" w:rsidRDefault="003A0BB6" w:rsidP="00656B58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3A0BB6" w:rsidRPr="007B2E17" w:rsidRDefault="003A0BB6" w:rsidP="00656B5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B2E17">
              <w:rPr>
                <w:rFonts w:eastAsia="Calibri"/>
                <w:sz w:val="20"/>
                <w:szCs w:val="20"/>
                <w:lang w:eastAsia="en-US"/>
              </w:rPr>
              <w:t>Projekt (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7B2E17">
              <w:rPr>
                <w:rFonts w:eastAsia="Calibri"/>
                <w:sz w:val="20"/>
                <w:szCs w:val="20"/>
                <w:lang w:eastAsia="en-US"/>
              </w:rPr>
              <w:t>5h)</w:t>
            </w:r>
          </w:p>
          <w:p w:rsidR="003A0BB6" w:rsidRPr="007B2E17" w:rsidRDefault="003A0BB6" w:rsidP="00656B58">
            <w:pPr>
              <w:pStyle w:val="Akapitzlist"/>
              <w:autoSpaceDE w:val="0"/>
              <w:autoSpaceDN w:val="0"/>
              <w:adjustRightInd w:val="0"/>
              <w:ind w:left="22" w:hanging="2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Analiza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dostępności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(audyt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dostępności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) przestrzeni w zakładzie pracy (analiza przestrzenni otoczenia zakładu pracy, </w:t>
            </w:r>
            <w:proofErr w:type="spellStart"/>
            <w:r w:rsidRPr="007B2E17">
              <w:rPr>
                <w:rFonts w:eastAsia="Calibri"/>
                <w:sz w:val="20"/>
                <w:szCs w:val="20"/>
                <w:lang w:eastAsia="en-US"/>
              </w:rPr>
              <w:t>ciągów</w:t>
            </w:r>
            <w:proofErr w:type="spellEnd"/>
            <w:r w:rsidRPr="007B2E17">
              <w:rPr>
                <w:rFonts w:eastAsia="Calibri"/>
                <w:sz w:val="20"/>
                <w:szCs w:val="20"/>
                <w:lang w:eastAsia="en-US"/>
              </w:rPr>
              <w:t xml:space="preserve"> komunikacyjnych, przestrzeni sanitarno-socjalnej)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B2E17">
              <w:rPr>
                <w:rFonts w:eastAsia="Calibri"/>
                <w:sz w:val="20"/>
                <w:szCs w:val="20"/>
                <w:lang w:eastAsia="en-US"/>
              </w:rPr>
              <w:t>w formie prezentacji multimedialnej połączonej z dyskusją.</w:t>
            </w:r>
          </w:p>
        </w:tc>
      </w:tr>
      <w:tr w:rsidR="003A0BB6" w:rsidRPr="004D4DC5" w:rsidTr="00656B58">
        <w:trPr>
          <w:trHeight w:val="421"/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4D4DC5" w:rsidRDefault="003A0BB6" w:rsidP="00656B58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7B2E17" w:rsidRDefault="003A0BB6" w:rsidP="00656B58">
            <w:pPr>
              <w:jc w:val="both"/>
              <w:rPr>
                <w:sz w:val="20"/>
                <w:szCs w:val="20"/>
                <w:lang w:eastAsia="en-US"/>
              </w:rPr>
            </w:pPr>
            <w:r w:rsidRPr="007B2E17">
              <w:rPr>
                <w:sz w:val="20"/>
                <w:szCs w:val="20"/>
                <w:lang w:eastAsia="en-US"/>
              </w:rPr>
              <w:t>- wykład informacyjny z wykorzystaniem prezentacji multimedialnych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  <w:lang w:eastAsia="en-US"/>
              </w:rPr>
            </w:pPr>
            <w:r w:rsidRPr="007B2E17">
              <w:rPr>
                <w:sz w:val="20"/>
                <w:szCs w:val="20"/>
                <w:lang w:eastAsia="en-US"/>
              </w:rPr>
              <w:t>- dyskusja problemowa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  <w:lang w:eastAsia="en-US"/>
              </w:rPr>
            </w:pPr>
            <w:r w:rsidRPr="007B2E17">
              <w:rPr>
                <w:sz w:val="20"/>
                <w:szCs w:val="20"/>
                <w:lang w:eastAsia="en-US"/>
              </w:rPr>
              <w:t>- metoda przypadków</w:t>
            </w:r>
          </w:p>
        </w:tc>
      </w:tr>
      <w:tr w:rsidR="003A0BB6" w:rsidRPr="004D4DC5" w:rsidTr="00656B58">
        <w:trPr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3A0BB6" w:rsidRPr="004D4DC5" w:rsidRDefault="003A0BB6" w:rsidP="00656B58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</w:tcPr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Warunkiem zaliczenia przedmiotu jest osiągnięcie wszystkich wymaganych efektów uczenia się dla poszczególnych form zajęć 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Sposób obliczenia oceny końcowej z przedmiotu określony został zarządzeniem Rektora URad.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mniej niż 50% punktacji - niedostateczna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50% - 59% - dostateczna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60% - 69% - dostateczna plus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70% - 79% - dobra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80% - 89% - dobra plus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90% - 100% - bardzo dobra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oceny aktywności studenta na zajęciach,</w:t>
            </w:r>
          </w:p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3A0BB6" w:rsidRPr="004D4DC5" w:rsidRDefault="003A0BB6" w:rsidP="003A0BB6">
      <w:pPr>
        <w:rPr>
          <w:rFonts w:eastAsia="Calibri"/>
          <w:sz w:val="20"/>
          <w:szCs w:val="20"/>
        </w:rPr>
      </w:pPr>
    </w:p>
    <w:p w:rsidR="003A0BB6" w:rsidRPr="004D4DC5" w:rsidRDefault="003A0BB6" w:rsidP="003A0BB6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3A0BB6" w:rsidRPr="004D4DC5" w:rsidTr="00656B58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3A0BB6" w:rsidRPr="004D4DC5" w:rsidTr="00656B58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A0BB6" w:rsidRPr="004D4DC5" w:rsidRDefault="003A0BB6" w:rsidP="00656B58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3A0BB6" w:rsidRPr="004D4DC5" w:rsidTr="00656B58">
        <w:trPr>
          <w:jc w:val="center"/>
        </w:trPr>
        <w:tc>
          <w:tcPr>
            <w:tcW w:w="503" w:type="pct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3A0BB6" w:rsidRPr="007B2E17" w:rsidRDefault="003A0BB6" w:rsidP="00656B58">
            <w:pPr>
              <w:pStyle w:val="Tekstpodstawowy3"/>
              <w:tabs>
                <w:tab w:val="clear" w:pos="335"/>
                <w:tab w:val="left" w:pos="567"/>
              </w:tabs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Zna i rozumie relacje zachodzące między człowiekiem a rozwiązaniami architektonicznymi go otaczającymi, oraz potrzeby dostosowania tych rozwiązań do ludzkich możliwości.</w:t>
            </w:r>
          </w:p>
        </w:tc>
        <w:tc>
          <w:tcPr>
            <w:tcW w:w="635" w:type="pct"/>
            <w:vAlign w:val="center"/>
          </w:tcPr>
          <w:p w:rsidR="003A0BB6" w:rsidRPr="007B2E17" w:rsidRDefault="003A0BB6" w:rsidP="00656B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K_W05</w:t>
            </w:r>
          </w:p>
          <w:p w:rsidR="003A0BB6" w:rsidRPr="007B2E17" w:rsidRDefault="003A0BB6" w:rsidP="00656B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K_W06</w:t>
            </w:r>
          </w:p>
        </w:tc>
        <w:tc>
          <w:tcPr>
            <w:tcW w:w="705" w:type="pct"/>
            <w:vAlign w:val="center"/>
          </w:tcPr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wykład</w:t>
            </w:r>
          </w:p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Egzamin, </w:t>
            </w:r>
            <w:r w:rsidRPr="007B2E17">
              <w:rPr>
                <w:i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kolokwium, dyskusja, prezentacja</w:t>
            </w:r>
          </w:p>
        </w:tc>
      </w:tr>
      <w:tr w:rsidR="003A0BB6" w:rsidRPr="004D4DC5" w:rsidTr="00656B58">
        <w:trPr>
          <w:jc w:val="center"/>
        </w:trPr>
        <w:tc>
          <w:tcPr>
            <w:tcW w:w="503" w:type="pct"/>
            <w:vAlign w:val="center"/>
          </w:tcPr>
          <w:p w:rsidR="003A0BB6" w:rsidRPr="004D4DC5" w:rsidRDefault="003A0BB6" w:rsidP="00656B5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A0BB6" w:rsidRPr="007B2E17" w:rsidRDefault="003A0BB6" w:rsidP="00656B58">
            <w:pPr>
              <w:rPr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Zna zagrożenia i rozumie skutki niedostosowania przestrzeni zakładów pracy do zasad projektowania uniwersalnego dla bezpieczeństwa pracowników</w:t>
            </w:r>
          </w:p>
        </w:tc>
        <w:tc>
          <w:tcPr>
            <w:tcW w:w="635" w:type="pct"/>
            <w:vAlign w:val="center"/>
          </w:tcPr>
          <w:p w:rsidR="003A0BB6" w:rsidRPr="007B2E17" w:rsidRDefault="003A0BB6" w:rsidP="00656B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K_W07</w:t>
            </w:r>
          </w:p>
        </w:tc>
        <w:tc>
          <w:tcPr>
            <w:tcW w:w="705" w:type="pct"/>
            <w:vAlign w:val="center"/>
          </w:tcPr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wykład</w:t>
            </w:r>
          </w:p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Egzamin,</w:t>
            </w:r>
            <w:r w:rsidRPr="007B2E17">
              <w:rPr>
                <w:i/>
                <w:sz w:val="20"/>
                <w:szCs w:val="20"/>
              </w:rPr>
              <w:t xml:space="preserve"> 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kolokwium, dyskusja, prezentacja</w:t>
            </w:r>
          </w:p>
        </w:tc>
      </w:tr>
      <w:tr w:rsidR="003A0BB6" w:rsidRPr="004D4DC5" w:rsidTr="00656B5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B6" w:rsidRDefault="003A0BB6" w:rsidP="00656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A0BB6" w:rsidRPr="007B2E17" w:rsidRDefault="003A0BB6" w:rsidP="00656B58">
            <w:pPr>
              <w:jc w:val="both"/>
              <w:rPr>
                <w:sz w:val="20"/>
                <w:szCs w:val="20"/>
              </w:rPr>
            </w:pPr>
            <w:r w:rsidRPr="007B2E17">
              <w:rPr>
                <w:bCs/>
                <w:sz w:val="20"/>
                <w:szCs w:val="20"/>
              </w:rPr>
              <w:t>Potrafi wdrażać zasady i wytyczne projektowania uniwersalnego w środowisku pracy.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B6" w:rsidRPr="007B2E17" w:rsidRDefault="003A0BB6" w:rsidP="00656B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K_U03</w:t>
            </w:r>
          </w:p>
          <w:p w:rsidR="003A0BB6" w:rsidRPr="007B2E17" w:rsidRDefault="003A0BB6" w:rsidP="00656B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K_U04</w:t>
            </w:r>
          </w:p>
        </w:tc>
        <w:tc>
          <w:tcPr>
            <w:tcW w:w="705" w:type="pct"/>
            <w:vAlign w:val="center"/>
          </w:tcPr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</w:t>
            </w:r>
            <w:r w:rsidRPr="007B2E17">
              <w:rPr>
                <w:i/>
                <w:sz w:val="20"/>
                <w:szCs w:val="20"/>
              </w:rPr>
              <w:t>rezentacja</w:t>
            </w:r>
            <w:r>
              <w:rPr>
                <w:i/>
                <w:sz w:val="20"/>
                <w:szCs w:val="20"/>
              </w:rPr>
              <w:t>, dyskusja</w:t>
            </w:r>
          </w:p>
        </w:tc>
      </w:tr>
      <w:tr w:rsidR="003A0BB6" w:rsidRPr="004D4DC5" w:rsidTr="00656B58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B6" w:rsidRDefault="003A0BB6" w:rsidP="00656B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A0BB6" w:rsidRPr="007B2E17" w:rsidRDefault="003A0BB6" w:rsidP="00656B58">
            <w:pPr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sz w:val="20"/>
                <w:szCs w:val="20"/>
              </w:rPr>
              <w:t>Jest gotów do identyfikacji potrzeb związanych z dostępnością każdego pracownika w zakładzie pracy oraz podejmuje starania by dostępność była zapewniona wszystkim pracownikom.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BB6" w:rsidRPr="007B2E17" w:rsidRDefault="003A0BB6" w:rsidP="00656B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K_K01</w:t>
            </w:r>
          </w:p>
          <w:p w:rsidR="003A0BB6" w:rsidRPr="007B2E17" w:rsidRDefault="003A0BB6" w:rsidP="00656B5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B2E17"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wykład</w:t>
            </w:r>
          </w:p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 w:rsidRPr="007B2E17">
              <w:rPr>
                <w:i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Egzamin, </w:t>
            </w:r>
            <w:r w:rsidRPr="007B2E17">
              <w:rPr>
                <w:i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7B2E17" w:rsidRDefault="003A0BB6" w:rsidP="00656B5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kolokwium, </w:t>
            </w:r>
            <w:r w:rsidRPr="007B2E17">
              <w:rPr>
                <w:i/>
                <w:sz w:val="20"/>
                <w:szCs w:val="20"/>
              </w:rPr>
              <w:t>dyskusja, prezentacja</w:t>
            </w:r>
          </w:p>
        </w:tc>
      </w:tr>
    </w:tbl>
    <w:p w:rsidR="003A0BB6" w:rsidRPr="004D4DC5" w:rsidRDefault="003A0BB6" w:rsidP="003A0BB6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3A0BB6" w:rsidRPr="004D4DC5" w:rsidTr="00656B58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3A0BB6" w:rsidRPr="004D4DC5" w:rsidTr="00656B58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0BB6" w:rsidRPr="004D4DC5" w:rsidRDefault="003A0BB6" w:rsidP="00656B58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3A0BB6" w:rsidRDefault="003A0BB6" w:rsidP="003A0BB6">
            <w:pPr>
              <w:pStyle w:val="Tekstpodstawowywcity1"/>
              <w:numPr>
                <w:ilvl w:val="0"/>
                <w:numId w:val="1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Obowiązujące regulacje prawne, np.:</w:t>
            </w:r>
          </w:p>
          <w:p w:rsidR="003A0BB6" w:rsidRPr="00CA3119" w:rsidRDefault="003A0BB6" w:rsidP="003A0BB6">
            <w:pPr>
              <w:pStyle w:val="Tekstpodstawowywcity1"/>
              <w:numPr>
                <w:ilvl w:val="0"/>
                <w:numId w:val="2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CA3119">
              <w:rPr>
                <w:bCs/>
                <w:sz w:val="20"/>
                <w:szCs w:val="20"/>
              </w:rPr>
              <w:t>Konwencja ONZ o prawach osób niepełnosprawnych przyjęta przez Zgromadzenie Ogólne Narodów Zjednoczonych 13 grudnia 2006 r, na mocy rezolucji nr 61/106</w:t>
            </w:r>
          </w:p>
          <w:p w:rsidR="003A0BB6" w:rsidRPr="00CA3119" w:rsidRDefault="003A0BB6" w:rsidP="003A0BB6">
            <w:pPr>
              <w:pStyle w:val="Tekstpodstawowywcity1"/>
              <w:numPr>
                <w:ilvl w:val="0"/>
                <w:numId w:val="2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CA3119">
              <w:rPr>
                <w:bCs/>
                <w:sz w:val="20"/>
                <w:szCs w:val="20"/>
              </w:rPr>
              <w:t>Konstytucja RP</w:t>
            </w:r>
          </w:p>
          <w:p w:rsidR="003A0BB6" w:rsidRPr="00CA3119" w:rsidRDefault="003A0BB6" w:rsidP="003A0BB6">
            <w:pPr>
              <w:pStyle w:val="Tekstpodstawowywcity1"/>
              <w:numPr>
                <w:ilvl w:val="0"/>
                <w:numId w:val="2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CA3119">
              <w:rPr>
                <w:bCs/>
                <w:sz w:val="20"/>
                <w:szCs w:val="20"/>
              </w:rPr>
              <w:t>Ustawa o zapewnieniu dostępności osobom ze szczególnymi potrzebami z dnia 19 lipca 2019 r.</w:t>
            </w:r>
          </w:p>
          <w:p w:rsidR="003A0BB6" w:rsidRDefault="003A0BB6" w:rsidP="003A0BB6">
            <w:pPr>
              <w:pStyle w:val="Tekstpodstawowywcity1"/>
              <w:numPr>
                <w:ilvl w:val="0"/>
                <w:numId w:val="2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CA3119">
              <w:rPr>
                <w:bCs/>
                <w:sz w:val="20"/>
                <w:szCs w:val="20"/>
              </w:rPr>
              <w:t>Karta Praw Osób Niepełnosprawnych</w:t>
            </w:r>
          </w:p>
          <w:p w:rsidR="003A0BB6" w:rsidRDefault="003A0BB6" w:rsidP="003A0BB6">
            <w:pPr>
              <w:pStyle w:val="Tekstpodstawowywcity1"/>
              <w:numPr>
                <w:ilvl w:val="0"/>
                <w:numId w:val="2"/>
              </w:numPr>
              <w:tabs>
                <w:tab w:val="left" w:pos="312"/>
              </w:tabs>
              <w:spacing w:after="0"/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CA3119">
              <w:rPr>
                <w:bCs/>
                <w:sz w:val="20"/>
                <w:szCs w:val="20"/>
              </w:rPr>
              <w:t>Strategia na Rzecz Osób z Niepełnosprawnościami na lata 2021 – 2030</w:t>
            </w:r>
          </w:p>
          <w:p w:rsidR="003A0BB6" w:rsidRPr="004801FE" w:rsidRDefault="003A0BB6" w:rsidP="003A0BB6">
            <w:pPr>
              <w:pStyle w:val="Tekstpodstawowywcity1"/>
              <w:numPr>
                <w:ilvl w:val="0"/>
                <w:numId w:val="1"/>
              </w:numPr>
              <w:tabs>
                <w:tab w:val="left" w:pos="312"/>
              </w:tabs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4801FE">
              <w:rPr>
                <w:bCs/>
                <w:sz w:val="20"/>
                <w:szCs w:val="20"/>
              </w:rPr>
              <w:t>Kowalski. K., Włącznik. Projektowanie bez barier. Fundacja Integracja, Warszawa, 2018</w:t>
            </w:r>
          </w:p>
          <w:p w:rsidR="003A0BB6" w:rsidRPr="004D4DC5" w:rsidRDefault="003A0BB6" w:rsidP="00656B58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3A0BB6" w:rsidRPr="004801FE" w:rsidRDefault="003A0BB6" w:rsidP="003A0BB6">
            <w:pPr>
              <w:pStyle w:val="Tekstpodstawowywcity1"/>
              <w:numPr>
                <w:ilvl w:val="0"/>
                <w:numId w:val="3"/>
              </w:numPr>
              <w:tabs>
                <w:tab w:val="left" w:pos="312"/>
              </w:tabs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4801FE">
              <w:rPr>
                <w:bCs/>
                <w:sz w:val="20"/>
                <w:szCs w:val="20"/>
              </w:rPr>
              <w:t>Wysocki M.: Tworzenie miasta przyjaznego wszystkim, [w:] Miasto dostępne jako jedno z wyzwań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801FE">
              <w:rPr>
                <w:bCs/>
                <w:sz w:val="20"/>
                <w:szCs w:val="20"/>
              </w:rPr>
              <w:t>planowania, ed. Krystyna Solarek, Warszawa: 2018, s.37-57</w:t>
            </w:r>
          </w:p>
          <w:p w:rsidR="003A0BB6" w:rsidRPr="004801FE" w:rsidRDefault="003A0BB6" w:rsidP="003A0BB6">
            <w:pPr>
              <w:pStyle w:val="Tekstpodstawowywcity1"/>
              <w:numPr>
                <w:ilvl w:val="0"/>
                <w:numId w:val="3"/>
              </w:numPr>
              <w:tabs>
                <w:tab w:val="left" w:pos="312"/>
              </w:tabs>
              <w:ind w:left="312" w:hanging="284"/>
              <w:jc w:val="both"/>
              <w:rPr>
                <w:bCs/>
                <w:sz w:val="20"/>
                <w:szCs w:val="20"/>
              </w:rPr>
            </w:pPr>
            <w:r w:rsidRPr="004801FE">
              <w:rPr>
                <w:bCs/>
                <w:sz w:val="20"/>
                <w:szCs w:val="20"/>
              </w:rPr>
              <w:t>Wysocki M.: Projektowanie uniwersalne w praktyce procesów rewitalizacji, [w:] Urbanistyczne aspekty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801FE">
              <w:rPr>
                <w:bCs/>
                <w:sz w:val="20"/>
                <w:szCs w:val="20"/>
              </w:rPr>
              <w:t>transformacji miast, ed. Piotr Lorens, Warszawa 2019: s.384-393</w:t>
            </w:r>
          </w:p>
          <w:p w:rsidR="003A0BB6" w:rsidRPr="004D4DC5" w:rsidRDefault="003A0BB6" w:rsidP="00656B58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 naukowe:</w:t>
            </w:r>
          </w:p>
          <w:p w:rsidR="003A0BB6" w:rsidRPr="004D4DC5" w:rsidRDefault="003A0BB6" w:rsidP="00656B58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3A0BB6" w:rsidRPr="004D4DC5" w:rsidRDefault="003A0BB6" w:rsidP="003A0BB6">
      <w:pPr>
        <w:rPr>
          <w:rFonts w:eastAsia="Calibri"/>
          <w:sz w:val="20"/>
          <w:szCs w:val="20"/>
          <w:lang w:eastAsia="en-US"/>
        </w:rPr>
      </w:pPr>
    </w:p>
    <w:p w:rsidR="003A0BB6" w:rsidRPr="004D4DC5" w:rsidRDefault="003A0BB6" w:rsidP="003A0BB6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3A0BB6" w:rsidRPr="004D4DC5" w:rsidTr="00656B58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3A0BB6" w:rsidRPr="004D4DC5" w:rsidTr="00656B58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A0BB6" w:rsidRPr="004D4DC5" w:rsidTr="00656B58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A0BB6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A0BB6" w:rsidRPr="004D4DC5" w:rsidTr="00656B58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A0BB6" w:rsidRPr="008967A5" w:rsidRDefault="003A0BB6" w:rsidP="00656B5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3A0BB6" w:rsidRPr="008967A5" w:rsidRDefault="003A0BB6" w:rsidP="00656B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3A0BB6" w:rsidRPr="008967A5" w:rsidRDefault="003A0BB6" w:rsidP="00656B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10 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A0BB6" w:rsidRPr="004D4DC5" w:rsidTr="00656B58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A0BB6" w:rsidRPr="008967A5" w:rsidRDefault="003A0BB6" w:rsidP="00656B5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Udział w zajęciach projektowych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3A0BB6" w:rsidRPr="008967A5" w:rsidRDefault="003A0BB6" w:rsidP="00656B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3A0BB6" w:rsidRPr="008967A5" w:rsidRDefault="003A0BB6" w:rsidP="00656B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25 [h]</w:t>
            </w:r>
          </w:p>
        </w:tc>
      </w:tr>
      <w:tr w:rsidR="003A0BB6" w:rsidRPr="004D4DC5" w:rsidTr="00656B58">
        <w:trPr>
          <w:trHeight w:val="562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A0BB6" w:rsidRPr="008967A5" w:rsidRDefault="003A0BB6" w:rsidP="00656B5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sz w:val="20"/>
                <w:szCs w:val="20"/>
                <w:lang w:eastAsia="en-US"/>
              </w:rPr>
              <w:t>zajęć projektowych</w:t>
            </w:r>
          </w:p>
          <w:p w:rsidR="003A0BB6" w:rsidRPr="008967A5" w:rsidRDefault="003A0BB6" w:rsidP="00656B5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Przygotowanie się do 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3A0BB6" w:rsidRPr="008967A5" w:rsidRDefault="00027570" w:rsidP="00656B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65</w:t>
            </w:r>
            <w:r w:rsidR="003A0BB6" w:rsidRPr="008967A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3A0BB6" w:rsidRPr="008967A5" w:rsidRDefault="003A0BB6" w:rsidP="00656B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A0BB6" w:rsidRPr="004D4DC5" w:rsidTr="00656B58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A0BB6" w:rsidRPr="008967A5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8967A5" w:rsidRDefault="00027570" w:rsidP="00656B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65</w:t>
            </w:r>
            <w:bookmarkStart w:id="0" w:name="_GoBack"/>
            <w:bookmarkEnd w:id="0"/>
            <w:r w:rsidR="003A0BB6"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 w:rsidR="003A0BB6">
              <w:rPr>
                <w:rFonts w:eastAsia="Calibri"/>
                <w:sz w:val="20"/>
                <w:szCs w:val="20"/>
                <w:lang w:eastAsia="en-US"/>
              </w:rPr>
              <w:t>2,</w:t>
            </w: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3A0BB6" w:rsidRPr="008967A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0BB6" w:rsidRPr="008967A5" w:rsidRDefault="003A0BB6" w:rsidP="00656B5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027570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8967A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3A0BB6" w:rsidRPr="004D4DC5" w:rsidTr="00656B58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3A0BB6" w:rsidRPr="008967A5" w:rsidRDefault="003A0BB6" w:rsidP="00656B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967A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3A0BB6" w:rsidRPr="004D4DC5" w:rsidRDefault="003A0BB6" w:rsidP="003A0BB6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3A0BB6" w:rsidRPr="004D4DC5" w:rsidTr="00656B58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3A0BB6" w:rsidRPr="004D4DC5" w:rsidRDefault="003A0BB6" w:rsidP="00656B58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3A0BB6" w:rsidRPr="005C100B" w:rsidTr="00656B58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3A0BB6" w:rsidRPr="005C100B" w:rsidRDefault="003A0BB6" w:rsidP="00656B5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3A0BB6" w:rsidRPr="005C100B" w:rsidRDefault="003A0BB6" w:rsidP="00656B5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F3DF3"/>
    <w:multiLevelType w:val="hybridMultilevel"/>
    <w:tmpl w:val="1D14001A"/>
    <w:lvl w:ilvl="0" w:tplc="38E64C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A1B6C"/>
    <w:multiLevelType w:val="hybridMultilevel"/>
    <w:tmpl w:val="6708F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02C54"/>
    <w:multiLevelType w:val="hybridMultilevel"/>
    <w:tmpl w:val="1D14001A"/>
    <w:lvl w:ilvl="0" w:tplc="38E64C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BB6"/>
    <w:rsid w:val="00027570"/>
    <w:rsid w:val="000439A9"/>
    <w:rsid w:val="003A0BB6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7C52"/>
  <w15:chartTrackingRefBased/>
  <w15:docId w15:val="{85A3826D-6F16-4819-B95C-CD64FDDE7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0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0BB6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3A0BB6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3A0B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3A0BB6"/>
    <w:pPr>
      <w:tabs>
        <w:tab w:val="left" w:pos="335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A0BB6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999</Words>
  <Characters>5994</Characters>
  <Application>Microsoft Office Word</Application>
  <DocSecurity>0</DocSecurity>
  <Lines>49</Lines>
  <Paragraphs>13</Paragraphs>
  <ScaleCrop>false</ScaleCrop>
  <Company/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2</cp:revision>
  <dcterms:created xsi:type="dcterms:W3CDTF">2026-04-07T07:44:00Z</dcterms:created>
  <dcterms:modified xsi:type="dcterms:W3CDTF">2026-04-12T13:49:00Z</dcterms:modified>
</cp:coreProperties>
</file>